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C7" w:rsidRPr="00E6210B" w:rsidRDefault="002F15C7" w:rsidP="002F15C7">
      <w:pPr>
        <w:spacing w:after="0"/>
        <w:jc w:val="center"/>
        <w:rPr>
          <w:b/>
          <w:iCs/>
          <w:sz w:val="28"/>
          <w:szCs w:val="28"/>
        </w:rPr>
      </w:pPr>
      <w:r w:rsidRPr="00E6210B">
        <w:rPr>
          <w:b/>
          <w:iCs/>
          <w:sz w:val="28"/>
          <w:szCs w:val="28"/>
        </w:rPr>
        <w:t>Réforme de la voie professionnelle</w:t>
      </w:r>
    </w:p>
    <w:p w:rsidR="008B23FF" w:rsidRDefault="002F15C7" w:rsidP="00331A50">
      <w:pPr>
        <w:spacing w:after="0"/>
        <w:jc w:val="center"/>
        <w:rPr>
          <w:b/>
          <w:i/>
          <w:iCs/>
          <w:sz w:val="28"/>
          <w:szCs w:val="28"/>
        </w:rPr>
      </w:pPr>
      <w:r w:rsidRPr="00F66F1A">
        <w:rPr>
          <w:b/>
          <w:i/>
          <w:iCs/>
          <w:sz w:val="28"/>
          <w:szCs w:val="28"/>
        </w:rPr>
        <w:t>Arguments</w:t>
      </w:r>
    </w:p>
    <w:p w:rsidR="008B23FF" w:rsidRPr="00F66F1A" w:rsidRDefault="008B23FF" w:rsidP="00331A50">
      <w:pPr>
        <w:spacing w:after="0"/>
        <w:jc w:val="center"/>
        <w:rPr>
          <w:b/>
          <w:i/>
        </w:rPr>
      </w:pPr>
    </w:p>
    <w:tbl>
      <w:tblPr>
        <w:tblStyle w:val="Grilledutableau"/>
        <w:tblW w:w="0" w:type="auto"/>
        <w:tblLook w:val="04A0" w:firstRow="1" w:lastRow="0" w:firstColumn="1" w:lastColumn="0" w:noHBand="0" w:noVBand="1"/>
      </w:tblPr>
      <w:tblGrid>
        <w:gridCol w:w="4664"/>
        <w:gridCol w:w="4665"/>
        <w:gridCol w:w="4665"/>
      </w:tblGrid>
      <w:tr w:rsidR="00E85F1A" w:rsidTr="00AB27D0">
        <w:trPr>
          <w:trHeight w:val="156"/>
        </w:trPr>
        <w:tc>
          <w:tcPr>
            <w:tcW w:w="4664" w:type="dxa"/>
            <w:shd w:val="clear" w:color="auto" w:fill="FFC000" w:themeFill="accent4"/>
          </w:tcPr>
          <w:p w:rsidR="00E85F1A" w:rsidRDefault="00E85F1A" w:rsidP="00E85F1A">
            <w:pPr>
              <w:jc w:val="center"/>
            </w:pPr>
            <w:r w:rsidRPr="00E85F1A">
              <w:rPr>
                <w:b/>
              </w:rPr>
              <w:t>La réforme :</w:t>
            </w:r>
          </w:p>
        </w:tc>
        <w:tc>
          <w:tcPr>
            <w:tcW w:w="4665" w:type="dxa"/>
            <w:shd w:val="clear" w:color="auto" w:fill="C5E0B3" w:themeFill="accent6" w:themeFillTint="66"/>
          </w:tcPr>
          <w:p w:rsidR="002D5333" w:rsidRPr="008B23FF" w:rsidRDefault="007468DE" w:rsidP="007468DE">
            <w:pPr>
              <w:jc w:val="center"/>
              <w:rPr>
                <w:b/>
              </w:rPr>
            </w:pPr>
            <w:r w:rsidRPr="008B23FF">
              <w:rPr>
                <w:b/>
              </w:rPr>
              <w:t>Oui parce que …</w:t>
            </w:r>
            <w:r w:rsidR="002D5333" w:rsidRPr="008B23FF">
              <w:rPr>
                <w:b/>
              </w:rPr>
              <w:t xml:space="preserve"> </w:t>
            </w:r>
          </w:p>
          <w:p w:rsidR="00E85F1A" w:rsidRPr="007468DE" w:rsidRDefault="002D5333" w:rsidP="007468DE">
            <w:pPr>
              <w:jc w:val="center"/>
            </w:pPr>
            <w:r>
              <w:t>(arguments développés par le ministère de l’éducation nationale)</w:t>
            </w:r>
          </w:p>
        </w:tc>
        <w:tc>
          <w:tcPr>
            <w:tcW w:w="4665" w:type="dxa"/>
            <w:shd w:val="clear" w:color="auto" w:fill="FF0000"/>
          </w:tcPr>
          <w:p w:rsidR="00E85F1A" w:rsidRPr="007468DE" w:rsidRDefault="000378AD" w:rsidP="000378AD">
            <w:pPr>
              <w:jc w:val="center"/>
              <w:rPr>
                <w:color w:val="ED7D31" w:themeColor="accent2"/>
              </w:rPr>
            </w:pPr>
            <w:r w:rsidRPr="008B23FF">
              <w:rPr>
                <w:b/>
              </w:rPr>
              <w:t xml:space="preserve">NON </w:t>
            </w:r>
            <w:r w:rsidRPr="002D31B5">
              <w:rPr>
                <w:b/>
              </w:rPr>
              <w:t>parce que</w:t>
            </w:r>
            <w:r>
              <w:t xml:space="preserve"> ou Oui </w:t>
            </w:r>
            <w:r w:rsidR="007468DE" w:rsidRPr="007468DE">
              <w:t>seulement si …</w:t>
            </w:r>
          </w:p>
        </w:tc>
      </w:tr>
      <w:tr w:rsidR="00E85F1A" w:rsidTr="00E85F1A">
        <w:trPr>
          <w:trHeight w:val="1440"/>
        </w:trPr>
        <w:tc>
          <w:tcPr>
            <w:tcW w:w="4664" w:type="dxa"/>
          </w:tcPr>
          <w:p w:rsidR="00E85F1A" w:rsidRDefault="00E85F1A" w:rsidP="00E85F1A">
            <w:pPr>
              <w:shd w:val="clear" w:color="auto" w:fill="FFFFFF"/>
              <w:rPr>
                <w:rFonts w:eastAsia="Times New Roman" w:cstheme="minorHAnsi"/>
                <w:color w:val="000000"/>
                <w:lang w:eastAsia="fr-FR"/>
              </w:rPr>
            </w:pPr>
            <w:r>
              <w:rPr>
                <w:rFonts w:eastAsia="Times New Roman" w:cstheme="minorHAnsi"/>
                <w:color w:val="000000"/>
                <w:lang w:eastAsia="fr-FR"/>
              </w:rPr>
              <w:t>-fera</w:t>
            </w:r>
            <w:r w:rsidRPr="00A57BA0">
              <w:rPr>
                <w:rFonts w:eastAsia="Times New Roman" w:cstheme="minorHAnsi"/>
                <w:color w:val="000000"/>
                <w:lang w:eastAsia="fr-FR"/>
              </w:rPr>
              <w:t xml:space="preserve"> de la voie professionnelle un parcours de réussite et d’excellence pour ses élèves, en lui redonnant toute son attractivité, son prestige et son efficacité.</w:t>
            </w:r>
          </w:p>
          <w:p w:rsidR="00E85F1A" w:rsidRPr="00E85F1A" w:rsidRDefault="00E85F1A" w:rsidP="00E85F1A">
            <w:pPr>
              <w:rPr>
                <w:b/>
                <w:highlight w:val="yellow"/>
              </w:rPr>
            </w:pPr>
          </w:p>
        </w:tc>
        <w:tc>
          <w:tcPr>
            <w:tcW w:w="4665" w:type="dxa"/>
          </w:tcPr>
          <w:p w:rsidR="00E85F1A" w:rsidRDefault="000378AD">
            <w:r>
              <w:t>Les élèves seront mieux préparés à leur projet d’insertion professionnelle ou de poursuite d’études en consolidant leurs savoirs fondamentaux et en transmettant des savoirs professionnel</w:t>
            </w:r>
            <w:r w:rsidR="00F66F1A">
              <w:t>s adaptés aux métiers de demain</w:t>
            </w:r>
          </w:p>
        </w:tc>
        <w:tc>
          <w:tcPr>
            <w:tcW w:w="4665" w:type="dxa"/>
          </w:tcPr>
          <w:p w:rsidR="00E85F1A" w:rsidRDefault="00E85F1A"/>
        </w:tc>
      </w:tr>
      <w:tr w:rsidR="00E85F1A" w:rsidTr="00E85F1A">
        <w:trPr>
          <w:trHeight w:val="495"/>
        </w:trPr>
        <w:tc>
          <w:tcPr>
            <w:tcW w:w="4664" w:type="dxa"/>
          </w:tcPr>
          <w:p w:rsidR="00E85F1A" w:rsidRDefault="00E85F1A" w:rsidP="00E85F1A">
            <w:r>
              <w:t>-</w:t>
            </w:r>
            <w:r w:rsidRPr="002C760A">
              <w:t>faciliter</w:t>
            </w:r>
            <w:r>
              <w:t>a</w:t>
            </w:r>
            <w:r w:rsidRPr="002C760A">
              <w:t xml:space="preserve"> le passage de la </w:t>
            </w:r>
            <w:r>
              <w:t xml:space="preserve">voie scolaire à l’apprentissage </w:t>
            </w:r>
          </w:p>
          <w:p w:rsidR="004F753B" w:rsidRDefault="004F753B" w:rsidP="004F753B">
            <w:r>
              <w:t>-en sens inverse s</w:t>
            </w:r>
            <w:r w:rsidRPr="002C760A">
              <w:t>écuriser</w:t>
            </w:r>
            <w:r>
              <w:t>a</w:t>
            </w:r>
            <w:r w:rsidRPr="002C760A">
              <w:t xml:space="preserve"> le passage de l’apprentissage vers la voie scolaire </w:t>
            </w:r>
          </w:p>
          <w:p w:rsidR="007468DE" w:rsidRPr="002C760A" w:rsidRDefault="007468DE" w:rsidP="00595BC2">
            <w:pPr>
              <w:rPr>
                <w:b/>
              </w:rPr>
            </w:pPr>
          </w:p>
        </w:tc>
        <w:tc>
          <w:tcPr>
            <w:tcW w:w="4665" w:type="dxa"/>
          </w:tcPr>
          <w:p w:rsidR="00E85F1A" w:rsidRDefault="004F753B">
            <w:r>
              <w:t>Les lycées professionnels pourront accueillir de l’apprentissage permettant une mixité de parcours pour le jeune (scolaire, apprentissage, mixte)</w:t>
            </w:r>
          </w:p>
          <w:p w:rsidR="007468DE" w:rsidRDefault="007468DE"/>
        </w:tc>
        <w:tc>
          <w:tcPr>
            <w:tcW w:w="4665" w:type="dxa"/>
          </w:tcPr>
          <w:p w:rsidR="00E85F1A" w:rsidRDefault="00E85F1A"/>
        </w:tc>
      </w:tr>
      <w:tr w:rsidR="00E85F1A" w:rsidTr="00E85F1A">
        <w:trPr>
          <w:trHeight w:val="765"/>
        </w:trPr>
        <w:tc>
          <w:tcPr>
            <w:tcW w:w="4664" w:type="dxa"/>
          </w:tcPr>
          <w:p w:rsidR="00E85F1A" w:rsidRDefault="00E85F1A" w:rsidP="00E85F1A">
            <w:r>
              <w:t>-fera</w:t>
            </w:r>
            <w:r w:rsidRPr="006B1493">
              <w:t xml:space="preserve"> émerger</w:t>
            </w:r>
            <w:r w:rsidR="009C4970">
              <w:t xml:space="preserve"> </w:t>
            </w:r>
            <w:r w:rsidRPr="006B1493">
              <w:t>un esprit de coopération entre CFA et lycées professionnels, mais aussi avec les régions</w:t>
            </w:r>
          </w:p>
          <w:p w:rsidR="00E85F1A" w:rsidRDefault="00E85F1A" w:rsidP="00E85F1A"/>
        </w:tc>
        <w:tc>
          <w:tcPr>
            <w:tcW w:w="4665" w:type="dxa"/>
          </w:tcPr>
          <w:p w:rsidR="004F753B" w:rsidRDefault="004F753B" w:rsidP="004F753B">
            <w:r>
              <w:t xml:space="preserve">L’éducation nationale propose aux régions de mener sur 2018-2019 un travail pour définir des cartes des formations. Ce travail en lien avec les branches professionnelles doit prendre en compte les attentes des élèves et de leurs familles ainsi que les besoins des professionnels. </w:t>
            </w:r>
          </w:p>
          <w:p w:rsidR="00E85F1A" w:rsidRDefault="004F753B" w:rsidP="004F753B">
            <w:r>
              <w:t>Une attention particulière devra être apportée aux niveaux et aux modalités de formation les mieux adaptés à chaque secteur d’activités et à chaque territoire.</w:t>
            </w:r>
          </w:p>
        </w:tc>
        <w:tc>
          <w:tcPr>
            <w:tcW w:w="4665" w:type="dxa"/>
          </w:tcPr>
          <w:p w:rsidR="00E85F1A" w:rsidRDefault="00E85F1A"/>
        </w:tc>
      </w:tr>
      <w:tr w:rsidR="00E85F1A" w:rsidTr="00DE31ED">
        <w:trPr>
          <w:trHeight w:val="1108"/>
        </w:trPr>
        <w:tc>
          <w:tcPr>
            <w:tcW w:w="4664" w:type="dxa"/>
          </w:tcPr>
          <w:p w:rsidR="00E560E6" w:rsidRPr="00C96E70" w:rsidRDefault="00E560E6" w:rsidP="00E560E6">
            <w:r w:rsidRPr="00C96E70">
              <w:t>-l’orientation des élèves sera facilitée</w:t>
            </w:r>
          </w:p>
          <w:p w:rsidR="007468DE" w:rsidRDefault="007468DE" w:rsidP="007468DE"/>
          <w:p w:rsidR="00F66F1A" w:rsidRDefault="00F66F1A" w:rsidP="007468DE"/>
          <w:p w:rsidR="00F66F1A" w:rsidRDefault="00F66F1A" w:rsidP="007468DE"/>
        </w:tc>
        <w:tc>
          <w:tcPr>
            <w:tcW w:w="4665" w:type="dxa"/>
          </w:tcPr>
          <w:p w:rsidR="00E560E6" w:rsidRPr="00E560E6" w:rsidRDefault="00E560E6" w:rsidP="004F753B">
            <w:pPr>
              <w:rPr>
                <w:color w:val="0070C0"/>
              </w:rPr>
            </w:pPr>
            <w:r w:rsidRPr="00E560E6">
              <w:rPr>
                <w:color w:val="0070C0"/>
              </w:rPr>
              <w:t>-</w:t>
            </w:r>
            <w:r w:rsidRPr="00C96E70">
              <w:t>rendra beaucoup plus lisible les formations grâce à l’organisation de la classe de seconde professionnelle par grandes familles de métiers</w:t>
            </w:r>
          </w:p>
          <w:p w:rsidR="00786660" w:rsidRDefault="00D1661A" w:rsidP="002D5333">
            <w:r>
              <w:t>-les élèves se spécialiseront progressivement et auront une vision plus large du champ professionnel auquel ils se destinent</w:t>
            </w:r>
          </w:p>
        </w:tc>
        <w:tc>
          <w:tcPr>
            <w:tcW w:w="4665" w:type="dxa"/>
          </w:tcPr>
          <w:p w:rsidR="00E85F1A" w:rsidRDefault="00E85F1A"/>
        </w:tc>
      </w:tr>
      <w:tr w:rsidR="007468DE" w:rsidTr="00AB27D0">
        <w:trPr>
          <w:trHeight w:val="156"/>
        </w:trPr>
        <w:tc>
          <w:tcPr>
            <w:tcW w:w="4664" w:type="dxa"/>
            <w:shd w:val="clear" w:color="auto" w:fill="FFC000" w:themeFill="accent4"/>
          </w:tcPr>
          <w:p w:rsidR="007468DE" w:rsidRDefault="007468DE" w:rsidP="00644A8B">
            <w:pPr>
              <w:jc w:val="center"/>
            </w:pPr>
            <w:r w:rsidRPr="00513221">
              <w:rPr>
                <w:b/>
              </w:rPr>
              <w:lastRenderedPageBreak/>
              <w:t>La mixité des publics</w:t>
            </w:r>
            <w:r>
              <w:rPr>
                <w:b/>
              </w:rPr>
              <w:t> :</w:t>
            </w:r>
          </w:p>
        </w:tc>
        <w:tc>
          <w:tcPr>
            <w:tcW w:w="4665" w:type="dxa"/>
            <w:shd w:val="clear" w:color="auto" w:fill="C5E0B3" w:themeFill="accent6" w:themeFillTint="66"/>
          </w:tcPr>
          <w:p w:rsidR="007468DE" w:rsidRPr="008B23FF" w:rsidRDefault="007468DE" w:rsidP="00644A8B">
            <w:pPr>
              <w:jc w:val="center"/>
              <w:rPr>
                <w:b/>
              </w:rPr>
            </w:pPr>
            <w:r w:rsidRPr="008B23FF">
              <w:rPr>
                <w:b/>
              </w:rPr>
              <w:t>Oui parce que …</w:t>
            </w:r>
          </w:p>
          <w:p w:rsidR="002D5333" w:rsidRPr="007468DE" w:rsidRDefault="002D5333" w:rsidP="00644A8B">
            <w:pPr>
              <w:jc w:val="center"/>
            </w:pPr>
            <w:r>
              <w:t>(arguments développés par le ministère de l’éducation nationale)</w:t>
            </w:r>
          </w:p>
        </w:tc>
        <w:tc>
          <w:tcPr>
            <w:tcW w:w="4665" w:type="dxa"/>
            <w:shd w:val="clear" w:color="auto" w:fill="FF0000"/>
          </w:tcPr>
          <w:p w:rsidR="007468DE" w:rsidRPr="007468DE" w:rsidRDefault="00112DD4" w:rsidP="00644A8B">
            <w:pPr>
              <w:jc w:val="center"/>
              <w:rPr>
                <w:color w:val="ED7D31" w:themeColor="accent2"/>
              </w:rPr>
            </w:pPr>
            <w:r w:rsidRPr="002D31B5">
              <w:rPr>
                <w:b/>
              </w:rPr>
              <w:t>NON parce que</w:t>
            </w:r>
            <w:r>
              <w:t xml:space="preserve"> ou Oui </w:t>
            </w:r>
            <w:r w:rsidRPr="007468DE">
              <w:t>seulement si …</w:t>
            </w:r>
          </w:p>
        </w:tc>
        <w:bookmarkStart w:id="0" w:name="_GoBack"/>
        <w:bookmarkEnd w:id="0"/>
      </w:tr>
      <w:tr w:rsidR="00E85F1A" w:rsidTr="00E85F1A">
        <w:tc>
          <w:tcPr>
            <w:tcW w:w="4664" w:type="dxa"/>
          </w:tcPr>
          <w:p w:rsidR="00E85F1A" w:rsidRPr="003A5928" w:rsidRDefault="00E85F1A" w:rsidP="00C96E70">
            <w:pPr>
              <w:rPr>
                <w:b/>
                <w:color w:val="7F7F7F" w:themeColor="text1" w:themeTint="80"/>
              </w:rPr>
            </w:pPr>
            <w:r>
              <w:t xml:space="preserve">-est bénéfique </w:t>
            </w:r>
            <w:r w:rsidR="003A5928" w:rsidRPr="00C96E70">
              <w:t xml:space="preserve">pour les apprentissages </w:t>
            </w:r>
          </w:p>
        </w:tc>
        <w:tc>
          <w:tcPr>
            <w:tcW w:w="4665" w:type="dxa"/>
          </w:tcPr>
          <w:p w:rsidR="00E85F1A" w:rsidRDefault="009C4970" w:rsidP="00F66F1A">
            <w:r>
              <w:t>la mixité apporte un nouveau regar</w:t>
            </w:r>
            <w:r w:rsidR="00F66F1A">
              <w:t>d sur les méthodes pédagogiques et</w:t>
            </w:r>
            <w:r>
              <w:t xml:space="preserve"> favorise l’exploitation pédagogique des périodes en entreprise et des situations professionnelles vécues.</w:t>
            </w:r>
          </w:p>
        </w:tc>
        <w:tc>
          <w:tcPr>
            <w:tcW w:w="4665" w:type="dxa"/>
          </w:tcPr>
          <w:p w:rsidR="00E85F1A" w:rsidRDefault="00E85F1A"/>
        </w:tc>
      </w:tr>
      <w:tr w:rsidR="00E85F1A" w:rsidTr="00E85F1A">
        <w:tc>
          <w:tcPr>
            <w:tcW w:w="4664" w:type="dxa"/>
          </w:tcPr>
          <w:p w:rsidR="00E85F1A" w:rsidRDefault="00E85F1A" w:rsidP="00E85F1A">
            <w:r>
              <w:t>-contribue à améliorer les relations avec le monde professionnel</w:t>
            </w:r>
          </w:p>
          <w:p w:rsidR="007468DE" w:rsidRDefault="007468DE" w:rsidP="00E85F1A"/>
          <w:p w:rsidR="00E85F1A" w:rsidRDefault="00E85F1A"/>
        </w:tc>
        <w:tc>
          <w:tcPr>
            <w:tcW w:w="4665" w:type="dxa"/>
          </w:tcPr>
          <w:p w:rsidR="00E85F1A" w:rsidRDefault="00F66F1A">
            <w:r>
              <w:t>-</w:t>
            </w:r>
            <w:r w:rsidR="00EF627D">
              <w:t xml:space="preserve">L'entreprise intègre l'alternant dans sa structure pour lui proposer un contexte professionnel pour mettre en œuvre et développer des acquis professionnels (savoir, savoir-faire et savoir être). </w:t>
            </w:r>
            <w:r>
              <w:t>-</w:t>
            </w:r>
            <w:r w:rsidR="00EF627D">
              <w:t>Le tuteur ou maître d'apprentissage est l'interlocuteur privilégié pour l'apprenant, l'organisme de formation et l'équipe pédagogique. Il accueille l'alternant, l'encadre tout au long de sa formation et suit l'évolution de ses apprentissages.</w:t>
            </w:r>
          </w:p>
        </w:tc>
        <w:tc>
          <w:tcPr>
            <w:tcW w:w="4665" w:type="dxa"/>
          </w:tcPr>
          <w:p w:rsidR="00E85F1A" w:rsidRDefault="00E85F1A"/>
        </w:tc>
      </w:tr>
      <w:tr w:rsidR="00E85F1A" w:rsidTr="00E85F1A">
        <w:tc>
          <w:tcPr>
            <w:tcW w:w="4664" w:type="dxa"/>
          </w:tcPr>
          <w:p w:rsidR="003A5928" w:rsidRPr="00C96E70" w:rsidRDefault="00C96E70" w:rsidP="003A5928">
            <w:r w:rsidRPr="00C96E70">
              <w:t>-</w:t>
            </w:r>
            <w:r w:rsidR="003A5928" w:rsidRPr="00C96E70">
              <w:t>donne ainsi une meilleure cohésion à l’ensemble des dispositifs</w:t>
            </w:r>
          </w:p>
          <w:p w:rsidR="003A5928" w:rsidRPr="00C96E70" w:rsidRDefault="003A5928" w:rsidP="00F66F1A"/>
        </w:tc>
        <w:tc>
          <w:tcPr>
            <w:tcW w:w="4665" w:type="dxa"/>
          </w:tcPr>
          <w:p w:rsidR="003A5928" w:rsidRPr="00C96E70" w:rsidRDefault="003A5928" w:rsidP="003A5928">
            <w:r w:rsidRPr="00C96E70">
              <w:t xml:space="preserve">-renforce la concertation des équipes pédagogiques et des coordinateurs de l’apprentissage ou de la formation continue </w:t>
            </w:r>
          </w:p>
          <w:p w:rsidR="003A5928" w:rsidRPr="00C96E70" w:rsidRDefault="003A5928" w:rsidP="00F66F1A"/>
          <w:p w:rsidR="00F66F1A" w:rsidRPr="00C96E70" w:rsidRDefault="00F66F1A" w:rsidP="009C4970"/>
        </w:tc>
        <w:tc>
          <w:tcPr>
            <w:tcW w:w="4665" w:type="dxa"/>
          </w:tcPr>
          <w:p w:rsidR="00E85F1A" w:rsidRDefault="00E85F1A"/>
        </w:tc>
      </w:tr>
      <w:tr w:rsidR="007468DE" w:rsidTr="00AB27D0">
        <w:trPr>
          <w:trHeight w:val="156"/>
        </w:trPr>
        <w:tc>
          <w:tcPr>
            <w:tcW w:w="4664" w:type="dxa"/>
            <w:shd w:val="clear" w:color="auto" w:fill="FFC000" w:themeFill="accent4"/>
          </w:tcPr>
          <w:p w:rsidR="007468DE" w:rsidRDefault="007468DE" w:rsidP="00644A8B">
            <w:pPr>
              <w:jc w:val="center"/>
            </w:pPr>
            <w:r w:rsidRPr="00EF6B99">
              <w:rPr>
                <w:b/>
                <w:iCs/>
              </w:rPr>
              <w:t xml:space="preserve">La </w:t>
            </w:r>
            <w:proofErr w:type="spellStart"/>
            <w:r w:rsidRPr="00EF6B99">
              <w:rPr>
                <w:b/>
                <w:iCs/>
              </w:rPr>
              <w:t>co</w:t>
            </w:r>
            <w:proofErr w:type="spellEnd"/>
            <w:r w:rsidRPr="00EF6B99">
              <w:rPr>
                <w:b/>
                <w:iCs/>
              </w:rPr>
              <w:t>-intervention</w:t>
            </w:r>
            <w:r w:rsidR="00112DD4">
              <w:rPr>
                <w:b/>
                <w:iCs/>
              </w:rPr>
              <w:t xml:space="preserve"> (maths/enseignement pro et français/enseignement pro)</w:t>
            </w:r>
            <w:r>
              <w:rPr>
                <w:iCs/>
              </w:rPr>
              <w:t> :</w:t>
            </w:r>
          </w:p>
        </w:tc>
        <w:tc>
          <w:tcPr>
            <w:tcW w:w="4665" w:type="dxa"/>
            <w:shd w:val="clear" w:color="auto" w:fill="C5E0B3" w:themeFill="accent6" w:themeFillTint="66"/>
          </w:tcPr>
          <w:p w:rsidR="007468DE" w:rsidRPr="008B23FF" w:rsidRDefault="007468DE" w:rsidP="00644A8B">
            <w:pPr>
              <w:jc w:val="center"/>
              <w:rPr>
                <w:b/>
              </w:rPr>
            </w:pPr>
            <w:r w:rsidRPr="008B23FF">
              <w:rPr>
                <w:b/>
              </w:rPr>
              <w:t>Oui parce que …</w:t>
            </w:r>
          </w:p>
          <w:p w:rsidR="002D5333" w:rsidRPr="007468DE" w:rsidRDefault="002D5333" w:rsidP="00644A8B">
            <w:pPr>
              <w:jc w:val="center"/>
            </w:pPr>
            <w:r>
              <w:t>(arguments développés par le ministère de l’éducation nationale)</w:t>
            </w:r>
          </w:p>
        </w:tc>
        <w:tc>
          <w:tcPr>
            <w:tcW w:w="4665" w:type="dxa"/>
            <w:shd w:val="clear" w:color="auto" w:fill="FF0000"/>
          </w:tcPr>
          <w:p w:rsidR="007468DE" w:rsidRPr="007468DE" w:rsidRDefault="00112DD4" w:rsidP="00644A8B">
            <w:pPr>
              <w:jc w:val="center"/>
              <w:rPr>
                <w:color w:val="ED7D31" w:themeColor="accent2"/>
              </w:rPr>
            </w:pPr>
            <w:r w:rsidRPr="008B23FF">
              <w:rPr>
                <w:b/>
              </w:rPr>
              <w:t>NON parce que</w:t>
            </w:r>
            <w:r>
              <w:t xml:space="preserve"> ou Oui </w:t>
            </w:r>
            <w:r w:rsidRPr="007468DE">
              <w:t>seulement si …</w:t>
            </w:r>
          </w:p>
        </w:tc>
      </w:tr>
      <w:tr w:rsidR="00E85F1A" w:rsidTr="00E85F1A">
        <w:tc>
          <w:tcPr>
            <w:tcW w:w="4664" w:type="dxa"/>
          </w:tcPr>
          <w:p w:rsidR="00DE31ED" w:rsidRDefault="00DE31ED" w:rsidP="00DE31ED">
            <w:r>
              <w:t>-</w:t>
            </w:r>
            <w:r w:rsidRPr="00EF6B99">
              <w:t>donne plus de sens aux enseignements généraux</w:t>
            </w:r>
            <w:r>
              <w:t xml:space="preserve"> </w:t>
            </w:r>
          </w:p>
          <w:p w:rsidR="00E85F1A" w:rsidRDefault="00E85F1A"/>
          <w:p w:rsidR="007468DE" w:rsidRDefault="007468DE"/>
        </w:tc>
        <w:tc>
          <w:tcPr>
            <w:tcW w:w="4665" w:type="dxa"/>
          </w:tcPr>
          <w:p w:rsidR="00F66F1A" w:rsidRDefault="00BA586B" w:rsidP="00BA586B">
            <w:r>
              <w:t>Elle les rend plus concrets pour des élèves qui ont choi</w:t>
            </w:r>
            <w:r w:rsidR="00F66F1A">
              <w:t>si un enseignement plus pratique</w:t>
            </w:r>
          </w:p>
        </w:tc>
        <w:tc>
          <w:tcPr>
            <w:tcW w:w="4665" w:type="dxa"/>
          </w:tcPr>
          <w:p w:rsidR="00E85F1A" w:rsidRDefault="00E85F1A"/>
          <w:p w:rsidR="00786660" w:rsidRDefault="00786660"/>
          <w:p w:rsidR="00786660" w:rsidRDefault="00786660"/>
          <w:p w:rsidR="00786660" w:rsidRDefault="00786660"/>
        </w:tc>
      </w:tr>
      <w:tr w:rsidR="00DE31ED" w:rsidTr="00E85F1A">
        <w:tc>
          <w:tcPr>
            <w:tcW w:w="4664" w:type="dxa"/>
          </w:tcPr>
          <w:p w:rsidR="007468DE" w:rsidRDefault="00112DD4" w:rsidP="002D5333">
            <w:r>
              <w:t>-est bénéfique pour les élèves, souvent en difficulté avec les apprentissages scolaires au collèg</w:t>
            </w:r>
            <w:r w:rsidR="002D5333">
              <w:t>e</w:t>
            </w:r>
          </w:p>
        </w:tc>
        <w:tc>
          <w:tcPr>
            <w:tcW w:w="4665" w:type="dxa"/>
          </w:tcPr>
          <w:p w:rsidR="00112DD4" w:rsidRDefault="00112DD4" w:rsidP="00112DD4">
            <w:r>
              <w:t xml:space="preserve">Elle permet aux élèves </w:t>
            </w:r>
            <w:r w:rsidRPr="007F73A3">
              <w:t>de consolider leurs savoirs, de prendre confiance et de progresser</w:t>
            </w:r>
          </w:p>
          <w:p w:rsidR="00DE31ED" w:rsidRDefault="00DE31ED"/>
        </w:tc>
        <w:tc>
          <w:tcPr>
            <w:tcW w:w="4665" w:type="dxa"/>
          </w:tcPr>
          <w:p w:rsidR="00DE31ED" w:rsidRDefault="00DE31ED"/>
          <w:p w:rsidR="00786660" w:rsidRDefault="00786660"/>
          <w:p w:rsidR="002D5333" w:rsidRDefault="002D5333"/>
          <w:p w:rsidR="00786660" w:rsidRDefault="00786660"/>
        </w:tc>
      </w:tr>
      <w:tr w:rsidR="007468DE" w:rsidTr="00AB27D0">
        <w:trPr>
          <w:trHeight w:val="156"/>
        </w:trPr>
        <w:tc>
          <w:tcPr>
            <w:tcW w:w="4664" w:type="dxa"/>
            <w:shd w:val="clear" w:color="auto" w:fill="FFC000" w:themeFill="accent4"/>
          </w:tcPr>
          <w:p w:rsidR="007468DE" w:rsidRDefault="007468DE" w:rsidP="00644A8B">
            <w:pPr>
              <w:jc w:val="center"/>
            </w:pPr>
            <w:r>
              <w:rPr>
                <w:b/>
                <w:iCs/>
              </w:rPr>
              <w:lastRenderedPageBreak/>
              <w:t>La réalisation d’un Chef d’œuvre présenté au Bac pro :</w:t>
            </w:r>
          </w:p>
        </w:tc>
        <w:tc>
          <w:tcPr>
            <w:tcW w:w="4665" w:type="dxa"/>
            <w:shd w:val="clear" w:color="auto" w:fill="C5E0B3" w:themeFill="accent6" w:themeFillTint="66"/>
          </w:tcPr>
          <w:p w:rsidR="007468DE" w:rsidRPr="008B23FF" w:rsidRDefault="007468DE" w:rsidP="00644A8B">
            <w:pPr>
              <w:jc w:val="center"/>
              <w:rPr>
                <w:b/>
              </w:rPr>
            </w:pPr>
            <w:r w:rsidRPr="008B23FF">
              <w:rPr>
                <w:b/>
              </w:rPr>
              <w:t>Oui parce que …</w:t>
            </w:r>
          </w:p>
          <w:p w:rsidR="002D5333" w:rsidRPr="007468DE" w:rsidRDefault="002D5333" w:rsidP="00644A8B">
            <w:pPr>
              <w:jc w:val="center"/>
            </w:pPr>
            <w:r>
              <w:t>(arguments développés par le ministère de l’éducation nationale)</w:t>
            </w:r>
          </w:p>
        </w:tc>
        <w:tc>
          <w:tcPr>
            <w:tcW w:w="4665" w:type="dxa"/>
            <w:shd w:val="clear" w:color="auto" w:fill="FF0000"/>
          </w:tcPr>
          <w:p w:rsidR="007468DE" w:rsidRPr="007468DE" w:rsidRDefault="00F66F1A" w:rsidP="00644A8B">
            <w:pPr>
              <w:jc w:val="center"/>
              <w:rPr>
                <w:color w:val="ED7D31" w:themeColor="accent2"/>
              </w:rPr>
            </w:pPr>
            <w:r w:rsidRPr="008B23FF">
              <w:rPr>
                <w:b/>
              </w:rPr>
              <w:t>NON parce que</w:t>
            </w:r>
            <w:r>
              <w:t xml:space="preserve"> ou Oui </w:t>
            </w:r>
            <w:r w:rsidRPr="007468DE">
              <w:t>seulement si …</w:t>
            </w:r>
          </w:p>
        </w:tc>
      </w:tr>
      <w:tr w:rsidR="00DE31ED" w:rsidTr="00E85F1A">
        <w:tc>
          <w:tcPr>
            <w:tcW w:w="4664" w:type="dxa"/>
          </w:tcPr>
          <w:p w:rsidR="00DE31ED" w:rsidRDefault="00DE31ED" w:rsidP="00DE31ED">
            <w:r>
              <w:t>-est s</w:t>
            </w:r>
            <w:r w:rsidRPr="002C760A">
              <w:t>ynonyme d’excellence et de reconnaissance par les pairs</w:t>
            </w:r>
          </w:p>
          <w:p w:rsidR="00DE31ED" w:rsidRDefault="00DE31ED" w:rsidP="00DE31ED"/>
          <w:p w:rsidR="007468DE" w:rsidRDefault="007468DE" w:rsidP="00DE31ED"/>
          <w:p w:rsidR="002D5333" w:rsidRDefault="002D5333" w:rsidP="00DE31ED"/>
        </w:tc>
        <w:tc>
          <w:tcPr>
            <w:tcW w:w="4665" w:type="dxa"/>
          </w:tcPr>
          <w:p w:rsidR="00DE31ED" w:rsidRDefault="00674600">
            <w:r>
              <w:t>Elle se nourrit de l’expérience acquise au lycée et en milieu professionnel</w:t>
            </w:r>
          </w:p>
        </w:tc>
        <w:tc>
          <w:tcPr>
            <w:tcW w:w="4665" w:type="dxa"/>
          </w:tcPr>
          <w:p w:rsidR="00DE31ED" w:rsidRDefault="00DE31ED"/>
          <w:p w:rsidR="002D5333" w:rsidRDefault="002D5333"/>
        </w:tc>
      </w:tr>
      <w:tr w:rsidR="00DE31ED" w:rsidTr="00E85F1A">
        <w:tc>
          <w:tcPr>
            <w:tcW w:w="4664" w:type="dxa"/>
          </w:tcPr>
          <w:p w:rsidR="00DE31ED" w:rsidRDefault="00DE31ED" w:rsidP="00DE31ED">
            <w:r>
              <w:t>-</w:t>
            </w:r>
            <w:r w:rsidRPr="002C760A">
              <w:t>témoigne de l’acquisition des savoirs et des gestes propres à un métier</w:t>
            </w:r>
          </w:p>
          <w:p w:rsidR="00DE31ED" w:rsidRDefault="00DE31ED" w:rsidP="00DE31ED"/>
          <w:p w:rsidR="002D5333" w:rsidRDefault="002D5333" w:rsidP="00DE31ED"/>
          <w:p w:rsidR="007468DE" w:rsidRDefault="007468DE" w:rsidP="00DE31ED"/>
        </w:tc>
        <w:tc>
          <w:tcPr>
            <w:tcW w:w="4665" w:type="dxa"/>
          </w:tcPr>
          <w:p w:rsidR="00DE31ED" w:rsidRDefault="00674600">
            <w:r>
              <w:t>Sa préparation et sa présentation orale devant le jury du Bac valorise</w:t>
            </w:r>
            <w:r w:rsidR="00B32E18">
              <w:t>nt</w:t>
            </w:r>
            <w:r>
              <w:t xml:space="preserve"> le travail des jeunes</w:t>
            </w:r>
          </w:p>
        </w:tc>
        <w:tc>
          <w:tcPr>
            <w:tcW w:w="4665" w:type="dxa"/>
          </w:tcPr>
          <w:p w:rsidR="00DE31ED" w:rsidRDefault="00DE31ED"/>
        </w:tc>
      </w:tr>
      <w:tr w:rsidR="00DE31ED" w:rsidTr="00E85F1A">
        <w:tc>
          <w:tcPr>
            <w:tcW w:w="4664" w:type="dxa"/>
          </w:tcPr>
          <w:p w:rsidR="00DE31ED" w:rsidRDefault="00AF5530" w:rsidP="00472A2B">
            <w:r>
              <w:t>-</w:t>
            </w:r>
            <w:r w:rsidRPr="002C760A">
              <w:t>développe le sentiment d’appartenance à une communauté professionnelle</w:t>
            </w:r>
          </w:p>
          <w:p w:rsidR="002D5333" w:rsidRDefault="002D5333" w:rsidP="00472A2B"/>
          <w:p w:rsidR="007468DE" w:rsidRDefault="007468DE" w:rsidP="00472A2B"/>
          <w:p w:rsidR="002D5333" w:rsidRDefault="002D5333" w:rsidP="00472A2B"/>
          <w:p w:rsidR="007468DE" w:rsidRDefault="007468DE" w:rsidP="00472A2B"/>
        </w:tc>
        <w:tc>
          <w:tcPr>
            <w:tcW w:w="4665" w:type="dxa"/>
          </w:tcPr>
          <w:p w:rsidR="00DE31ED" w:rsidRDefault="00674600" w:rsidP="00B32E18">
            <w:r>
              <w:t xml:space="preserve">Le terme « Chef d’œuvre » est emprunté au compagnonnage et bénéficie d’une image </w:t>
            </w:r>
            <w:r w:rsidR="00B32E18">
              <w:t>positive</w:t>
            </w:r>
            <w:r>
              <w:t xml:space="preserve"> dans l’opinion publique</w:t>
            </w:r>
          </w:p>
        </w:tc>
        <w:tc>
          <w:tcPr>
            <w:tcW w:w="4665" w:type="dxa"/>
          </w:tcPr>
          <w:p w:rsidR="00DE31ED" w:rsidRDefault="00DE31ED"/>
        </w:tc>
      </w:tr>
    </w:tbl>
    <w:p w:rsidR="00E85F1A" w:rsidRDefault="00E85F1A"/>
    <w:sectPr w:rsidR="00E85F1A" w:rsidSect="00E85F1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F21DE"/>
    <w:multiLevelType w:val="multilevel"/>
    <w:tmpl w:val="D6B6C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A403C"/>
    <w:multiLevelType w:val="multilevel"/>
    <w:tmpl w:val="E75E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F2"/>
    <w:rsid w:val="000378AD"/>
    <w:rsid w:val="00112DD4"/>
    <w:rsid w:val="002D31B5"/>
    <w:rsid w:val="002D5333"/>
    <w:rsid w:val="002F15C7"/>
    <w:rsid w:val="00331A50"/>
    <w:rsid w:val="003A5928"/>
    <w:rsid w:val="004345BE"/>
    <w:rsid w:val="00472A2B"/>
    <w:rsid w:val="004F753B"/>
    <w:rsid w:val="0051319A"/>
    <w:rsid w:val="00595BC2"/>
    <w:rsid w:val="005E60F1"/>
    <w:rsid w:val="00674600"/>
    <w:rsid w:val="006A0FD7"/>
    <w:rsid w:val="007468DE"/>
    <w:rsid w:val="00786660"/>
    <w:rsid w:val="007F3C19"/>
    <w:rsid w:val="00885EF2"/>
    <w:rsid w:val="008B23FF"/>
    <w:rsid w:val="009C4970"/>
    <w:rsid w:val="00A95765"/>
    <w:rsid w:val="00AB27D0"/>
    <w:rsid w:val="00AF5530"/>
    <w:rsid w:val="00B32E18"/>
    <w:rsid w:val="00BA586B"/>
    <w:rsid w:val="00C96E70"/>
    <w:rsid w:val="00D1661A"/>
    <w:rsid w:val="00DE31ED"/>
    <w:rsid w:val="00E560E6"/>
    <w:rsid w:val="00E6210B"/>
    <w:rsid w:val="00E85F1A"/>
    <w:rsid w:val="00EF627D"/>
    <w:rsid w:val="00F01C59"/>
    <w:rsid w:val="00F66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9CAA-8481-4ABA-899C-E101770D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F5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1034">
      <w:bodyDiv w:val="1"/>
      <w:marLeft w:val="0"/>
      <w:marRight w:val="0"/>
      <w:marTop w:val="0"/>
      <w:marBottom w:val="0"/>
      <w:divBdr>
        <w:top w:val="none" w:sz="0" w:space="0" w:color="auto"/>
        <w:left w:val="none" w:sz="0" w:space="0" w:color="auto"/>
        <w:bottom w:val="none" w:sz="0" w:space="0" w:color="auto"/>
        <w:right w:val="none" w:sz="0" w:space="0" w:color="auto"/>
      </w:divBdr>
    </w:div>
    <w:div w:id="11859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613</Words>
  <Characters>3373</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FEP CFDT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LAMBERDIERE Laurent</dc:creator>
  <cp:keywords/>
  <dc:description/>
  <cp:lastModifiedBy>LAMBERDIERE Laurent</cp:lastModifiedBy>
  <cp:revision>11</cp:revision>
  <dcterms:created xsi:type="dcterms:W3CDTF">2019-01-11T07:30:00Z</dcterms:created>
  <dcterms:modified xsi:type="dcterms:W3CDTF">2019-01-16T07:28:00Z</dcterms:modified>
</cp:coreProperties>
</file>